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5" w:name="tribunal-do-trabalho-de-lisboa"/>
    <w:p>
      <w:pPr>
        <w:pStyle w:val="Heading2"/>
      </w:pPr>
      <w:r>
        <w:t xml:space="preserve">Tribunal do Trabalho de Lisboa</w:t>
      </w:r>
    </w:p>
    <w:p>
      <w:pPr>
        <w:pStyle w:val="FirstParagraph"/>
      </w:pPr>
      <w:r>
        <w:rPr>
          <w:b/>
          <w:bCs/>
        </w:rPr>
        <w:t xml:space="preserve">Processo n.º 1234/2026 – Despedimento por Justa Causa – Uso Indevido de Email Corporativo</w:t>
      </w:r>
    </w:p>
    <w:bookmarkStart w:id="9" w:name="Xd64aec4a87e14e9be43e1af8781bf618ada03d6"/>
    <w:p>
      <w:pPr>
        <w:pStyle w:val="Heading3"/>
      </w:pPr>
      <w:r>
        <w:t xml:space="preserve">Requerimento de Impugnação ao Valor da Indemnização</w:t>
      </w:r>
    </w:p>
    <w:p>
      <w:pPr>
        <w:pStyle w:val="FirstParagraph"/>
      </w:pPr>
      <w:r>
        <w:rPr>
          <w:b/>
          <w:bCs/>
        </w:rPr>
        <w:t xml:space="preserve">Requerente:</w:t>
      </w:r>
      <w:r>
        <w:t xml:space="preserve"> </w:t>
      </w:r>
      <w:r>
        <w:t xml:space="preserve">José Manuel da Silva, NIF 123 456 789, residente em Rua da Boavista, 45, 2.º Esq., 1200‑115 Lisboa.</w:t>
      </w:r>
    </w:p>
    <w:p>
      <w:pPr>
        <w:pStyle w:val="BodyText"/>
      </w:pPr>
      <w:r>
        <w:rPr>
          <w:b/>
          <w:bCs/>
        </w:rPr>
        <w:t xml:space="preserve">Requerido:</w:t>
      </w:r>
      <w:r>
        <w:t xml:space="preserve"> </w:t>
      </w:r>
      <w:r>
        <w:t xml:space="preserve">XYZ – Serviços de Tecnologias, Lda., NIF 504 321 987, com sede em Avenida da República, 210, 4.º Esq., 1050‑157 Lisboa.</w:t>
      </w:r>
    </w:p>
    <w:p>
      <w:pPr>
        <w:pStyle w:val="BodyText"/>
      </w:pPr>
      <w:r>
        <w:rPr>
          <w:b/>
          <w:bCs/>
        </w:rPr>
        <w:t xml:space="preserve">Mandatários do Requerente:</w:t>
      </w:r>
      <w:r>
        <w:t xml:space="preserve"> </w:t>
      </w:r>
      <w:r>
        <w:t xml:space="preserve">Dr. António Ribeiro, OAB 12345, com escritório em Rua das Flores, 12, 3.º Dto., 1200‑300 Lisboa; Dra. Sofia Carvalho, OAB 67890, com escritório em Avenida das Nações, 78, 1.º Esq., 1400‑020 Lisboa.</w:t>
      </w:r>
    </w:p>
    <w:p>
      <w:pPr>
        <w:pStyle w:val="BodyText"/>
      </w:pPr>
      <w:r>
        <w:rPr>
          <w:b/>
          <w:bCs/>
        </w:rPr>
        <w:t xml:space="preserve">Juíza:</w:t>
      </w:r>
      <w:r>
        <w:t xml:space="preserve"> </w:t>
      </w:r>
      <w:r>
        <w:t xml:space="preserve">Dr.ª Maria de Lurdes Santos</w:t>
      </w:r>
    </w:p>
    <w:p>
      <w:pPr>
        <w:pStyle w:val="BodyText"/>
      </w:pPr>
      <w:r>
        <w:t xml:space="preserve">Lisboa, 15 de fevereiro de 2026</w:t>
      </w:r>
    </w:p>
    <w:p>
      <w:r>
        <w:pict>
          <v:rect style="width:0;height:1.5pt" o:hralign="center" o:hrstd="t" o:hr="t"/>
        </w:pict>
      </w:r>
    </w:p>
    <w:bookmarkEnd w:id="9"/>
    <w:bookmarkStart w:id="10" w:name="i.-exposição-dos-factos"/>
    <w:p>
      <w:pPr>
        <w:pStyle w:val="Heading3"/>
      </w:pPr>
      <w:r>
        <w:t xml:space="preserve">I. Exposição dos Factos</w:t>
      </w:r>
    </w:p>
    <w:p>
      <w:pPr>
        <w:pStyle w:val="Compact"/>
        <w:numPr>
          <w:ilvl w:val="0"/>
          <w:numId w:val="1001"/>
        </w:numPr>
      </w:pPr>
      <w:r>
        <w:t xml:space="preserve">O Requerente foi admitido pela XYZ – Serviços de Tecnologias, Lda. em 10 de março de 2014, tendo acumulado 12 (doze) anos de antiguidade até à data do despedimento, ocorrido a 30 de novembro de 2025.</w:t>
      </w:r>
      <w:r>
        <w:br/>
      </w:r>
    </w:p>
    <w:p>
      <w:pPr>
        <w:pStyle w:val="Compact"/>
        <w:numPr>
          <w:ilvl w:val="0"/>
          <w:numId w:val="1001"/>
        </w:numPr>
      </w:pPr>
      <w:r>
        <w:t xml:space="preserve">A empresa comunicou o despedimento por justa causa, alegando “uso indevido do email corporativo e violação do dever de lealdade”, sem, contudo, apresentar prova documental que demonstre a gravidade da conduta nem observar o procedimento de comunicação prévia previsto no artigo 351.º do Código do Trabalho.</w:t>
      </w:r>
      <w:r>
        <w:br/>
      </w:r>
    </w:p>
    <w:p>
      <w:pPr>
        <w:pStyle w:val="Compact"/>
        <w:numPr>
          <w:ilvl w:val="0"/>
          <w:numId w:val="1001"/>
        </w:numPr>
      </w:pPr>
      <w:r>
        <w:t xml:space="preserve">Em sede de audiência de conciliação, a empresa apresentou um cálculo de indemnização no valor de</w:t>
      </w:r>
      <w:r>
        <w:t xml:space="preserve"> </w:t>
      </w:r>
      <w:r>
        <w:rPr>
          <w:b/>
          <w:bCs/>
        </w:rPr>
        <w:t xml:space="preserve">€ 12 500,00</w:t>
      </w:r>
      <w:r>
        <w:t xml:space="preserve">, fundamentado em uma base de cálculo que, a nosso ver, contém erros substanciais que prejudicam o Requerente.</w:t>
      </w:r>
    </w:p>
    <w:bookmarkEnd w:id="10"/>
    <w:bookmarkStart w:id="11" w:name="ii.-fundamentação-jurídica-da-impugnação"/>
    <w:p>
      <w:pPr>
        <w:pStyle w:val="Heading3"/>
      </w:pPr>
      <w:r>
        <w:t xml:space="preserve">II. Fundamentação Jurídica da Impugnação</w:t>
      </w:r>
    </w:p>
    <w:p>
      <w:pPr>
        <w:pStyle w:val="Compact"/>
        <w:numPr>
          <w:ilvl w:val="0"/>
          <w:numId w:val="1002"/>
        </w:numPr>
      </w:pPr>
      <w:r>
        <w:rPr>
          <w:b/>
          <w:bCs/>
        </w:rPr>
        <w:t xml:space="preserve">Artigo 351.º, n.º 1, alínea b) do Código do Trabalho</w:t>
      </w:r>
      <w:r>
        <w:t xml:space="preserve"> </w:t>
      </w:r>
      <w:r>
        <w:t xml:space="preserve">– a indemnização por despedimento sem justa causa deve ser calculada com base na remuneração contratual global, incluindo subsídios de férias, de Natal e demais complementos habituais.</w:t>
      </w:r>
      <w:r>
        <w:br/>
      </w:r>
    </w:p>
    <w:p>
      <w:pPr>
        <w:pStyle w:val="Compact"/>
        <w:numPr>
          <w:ilvl w:val="0"/>
          <w:numId w:val="1002"/>
        </w:numPr>
      </w:pPr>
      <w:r>
        <w:rPr>
          <w:b/>
          <w:bCs/>
        </w:rPr>
        <w:t xml:space="preserve">Artigo 357.º, n.º 1, alínea a)</w:t>
      </w:r>
      <w:r>
        <w:t xml:space="preserve"> </w:t>
      </w:r>
      <w:r>
        <w:t xml:space="preserve">– a remuneração de referência deve considerar a média dos últimos 12 (doze) meses de trabalho, não podendo ser reduzida por eventuais descontos que não reflitam a remuneração efetiva do trabalhador.</w:t>
      </w:r>
      <w:r>
        <w:br/>
      </w:r>
    </w:p>
    <w:p>
      <w:pPr>
        <w:pStyle w:val="Compact"/>
        <w:numPr>
          <w:ilvl w:val="0"/>
          <w:numId w:val="1002"/>
        </w:numPr>
      </w:pPr>
      <w:r>
        <w:rPr>
          <w:b/>
          <w:bCs/>
        </w:rPr>
        <w:t xml:space="preserve">Jurisprudência do Tribunal Supremo (Acórdão n.º 123/2023)</w:t>
      </w:r>
      <w:r>
        <w:t xml:space="preserve"> </w:t>
      </w:r>
      <w:r>
        <w:t xml:space="preserve">– estabelece que a inclusão de “benefícios esporádicos” ou “prémios não habituais” no cálculo da indemnização só é admissível quando provada a sua regularidade.</w:t>
      </w:r>
    </w:p>
    <w:bookmarkEnd w:id="11"/>
    <w:bookmarkStart w:id="12" w:name="Xafc877685c2f082a2f489a56c460df2a940799f"/>
    <w:p>
      <w:pPr>
        <w:pStyle w:val="Heading3"/>
      </w:pPr>
      <w:r>
        <w:t xml:space="preserve">III. Erros Identificados no Cálculo da Empresa</w:t>
      </w:r>
    </w:p>
    <w:tbl>
      <w:tblPr>
        <w:tblStyle w:val="Table"/>
        <w:tblW w:type="pct" w:w="5000"/>
        <w:tblLayout w:type="fixed"/>
        <w:tblLook w:firstRow="1" w:lastRow="0" w:firstColumn="0" w:lastColumn="0" w:noHBand="0" w:noVBand="0" w:val="0020"/>
      </w:tblPr>
      <w:tblGrid>
        <w:gridCol w:w="452"/>
        <w:gridCol w:w="2187"/>
        <w:gridCol w:w="1961"/>
        <w:gridCol w:w="2413"/>
        <w:gridCol w:w="905"/>
      </w:tblGrid>
      <w:tr>
        <w:trPr>
          <w:tblHeader w:val="on"/>
        </w:trPr>
        <w:tc>
          <w:tcPr/>
          <w:p>
            <w:pPr>
              <w:pStyle w:val="Compact"/>
            </w:pPr>
            <w:r>
              <w:t xml:space="preserve">Item</w:t>
            </w:r>
          </w:p>
        </w:tc>
        <w:tc>
          <w:tcPr/>
          <w:p>
            <w:pPr>
              <w:pStyle w:val="Compact"/>
            </w:pPr>
            <w:r>
              <w:t xml:space="preserve">Valor calculado pela empresa</w:t>
            </w:r>
          </w:p>
        </w:tc>
        <w:tc>
          <w:tcPr/>
          <w:p>
            <w:pPr>
              <w:pStyle w:val="Compact"/>
            </w:pPr>
            <w:r>
              <w:t xml:space="preserve">Fundamentação da empresa</w:t>
            </w:r>
          </w:p>
        </w:tc>
        <w:tc>
          <w:tcPr/>
          <w:p>
            <w:pPr>
              <w:pStyle w:val="Compact"/>
            </w:pPr>
            <w:r>
              <w:t xml:space="preserve">Valor correto (conforme a lei)</w:t>
            </w:r>
          </w:p>
        </w:tc>
        <w:tc>
          <w:tcPr/>
          <w:p>
            <w:pPr>
              <w:pStyle w:val="Compact"/>
            </w:pPr>
            <w:r>
              <w:t xml:space="preserve">Observação</w:t>
            </w:r>
          </w:p>
        </w:tc>
      </w:tr>
      <w:tr>
        <w:tc>
          <w:tcPr/>
          <w:p>
            <w:pPr>
              <w:pStyle w:val="Compact"/>
            </w:pPr>
            <w:r>
              <w:t xml:space="preserve">Remuneração Base Mensal</w:t>
            </w:r>
          </w:p>
        </w:tc>
        <w:tc>
          <w:tcPr/>
          <w:p>
            <w:pPr>
              <w:pStyle w:val="Compact"/>
            </w:pPr>
            <w:r>
              <w:t xml:space="preserve">€ 1 800,00</w:t>
            </w:r>
          </w:p>
        </w:tc>
        <w:tc>
          <w:tcPr/>
          <w:p>
            <w:pPr>
              <w:pStyle w:val="Compact"/>
            </w:pPr>
            <w:r>
              <w:t xml:space="preserve">Salário base mensal</w:t>
            </w:r>
          </w:p>
        </w:tc>
        <w:tc>
          <w:tcPr/>
          <w:p>
            <w:pPr>
              <w:pStyle w:val="Compact"/>
            </w:pPr>
            <w:r>
              <w:rPr>
                <w:b/>
                <w:bCs/>
              </w:rPr>
              <w:t xml:space="preserve">€ 1 800,00</w:t>
            </w:r>
          </w:p>
        </w:tc>
        <w:tc>
          <w:tcPr/>
          <w:p>
            <w:pPr>
              <w:pStyle w:val="Compact"/>
            </w:pPr>
            <w:r>
              <w:t xml:space="preserve">Correto</w:t>
            </w:r>
          </w:p>
        </w:tc>
      </w:tr>
      <w:tr>
        <w:tc>
          <w:tcPr/>
          <w:p>
            <w:pPr>
              <w:pStyle w:val="Compact"/>
            </w:pPr>
            <w:r>
              <w:t xml:space="preserve">Subsídio de Natal</w:t>
            </w:r>
          </w:p>
        </w:tc>
        <w:tc>
          <w:tcPr/>
          <w:p>
            <w:pPr>
              <w:pStyle w:val="Compact"/>
            </w:pPr>
            <w:r>
              <w:t xml:space="preserve">€ 1 800,00</w:t>
            </w:r>
          </w:p>
        </w:tc>
        <w:tc>
          <w:tcPr/>
          <w:p>
            <w:pPr>
              <w:pStyle w:val="Compact"/>
            </w:pPr>
            <w:r>
              <w:t xml:space="preserve">1 (um) mês de salário</w:t>
            </w:r>
          </w:p>
        </w:tc>
        <w:tc>
          <w:tcPr/>
          <w:p>
            <w:pPr>
              <w:pStyle w:val="Compact"/>
            </w:pPr>
            <w:r>
              <w:rPr>
                <w:b/>
                <w:bCs/>
              </w:rPr>
              <w:t xml:space="preserve">€ 1 800,00</w:t>
            </w:r>
          </w:p>
        </w:tc>
        <w:tc>
          <w:tcPr/>
          <w:p>
            <w:pPr>
              <w:pStyle w:val="Compact"/>
            </w:pPr>
            <w:r>
              <w:t xml:space="preserve">Correto</w:t>
            </w:r>
          </w:p>
        </w:tc>
      </w:tr>
      <w:tr>
        <w:tc>
          <w:tcPr/>
          <w:p>
            <w:pPr>
              <w:pStyle w:val="Compact"/>
            </w:pPr>
            <w:r>
              <w:t xml:space="preserve">Subsídio de Férias</w:t>
            </w:r>
          </w:p>
        </w:tc>
        <w:tc>
          <w:tcPr/>
          <w:p>
            <w:pPr>
              <w:pStyle w:val="Compact"/>
            </w:pPr>
            <w:r>
              <w:t xml:space="preserve">€ 1 800,00</w:t>
            </w:r>
          </w:p>
        </w:tc>
        <w:tc>
          <w:tcPr/>
          <w:p>
            <w:pPr>
              <w:pStyle w:val="Compact"/>
            </w:pPr>
            <w:r>
              <w:t xml:space="preserve">1 (um) mês de salário</w:t>
            </w:r>
          </w:p>
        </w:tc>
        <w:tc>
          <w:tcPr/>
          <w:p>
            <w:pPr>
              <w:pStyle w:val="Compact"/>
            </w:pPr>
            <w:r>
              <w:rPr>
                <w:b/>
                <w:bCs/>
              </w:rPr>
              <w:t xml:space="preserve">€ 1 800,00</w:t>
            </w:r>
          </w:p>
        </w:tc>
        <w:tc>
          <w:tcPr/>
          <w:p>
            <w:pPr>
              <w:pStyle w:val="Compact"/>
            </w:pPr>
            <w:r>
              <w:t xml:space="preserve">Correto</w:t>
            </w:r>
          </w:p>
        </w:tc>
      </w:tr>
      <w:tr>
        <w:tc>
          <w:tcPr/>
          <w:p>
            <w:pPr>
              <w:pStyle w:val="Compact"/>
            </w:pPr>
            <w:r>
              <w:rPr>
                <w:b/>
                <w:bCs/>
              </w:rPr>
              <w:t xml:space="preserve">Total Mensal de Referência</w:t>
            </w:r>
          </w:p>
        </w:tc>
        <w:tc>
          <w:tcPr/>
          <w:p>
            <w:pPr>
              <w:pStyle w:val="Compact"/>
            </w:pPr>
            <w:r>
              <w:rPr>
                <w:b/>
                <w:bCs/>
              </w:rPr>
              <w:t xml:space="preserve">€ 5 400,00</w:t>
            </w:r>
          </w:p>
        </w:tc>
        <w:tc>
          <w:tcPr/>
          <w:p>
            <w:pPr>
              <w:pStyle w:val="Compact"/>
            </w:pPr>
            <w:r>
              <w:t xml:space="preserve">Soma dos três itens</w:t>
            </w:r>
          </w:p>
        </w:tc>
        <w:tc>
          <w:tcPr/>
          <w:p>
            <w:pPr>
              <w:pStyle w:val="Compact"/>
            </w:pPr>
            <w:r>
              <w:rPr>
                <w:b/>
                <w:bCs/>
              </w:rPr>
              <w:t xml:space="preserve">€ 5 400,00</w:t>
            </w:r>
          </w:p>
        </w:tc>
        <w:tc>
          <w:tcPr/>
          <w:p>
            <w:pPr>
              <w:pStyle w:val="Compact"/>
            </w:pPr>
            <w:r>
              <w:t xml:space="preserve">Correto</w:t>
            </w:r>
          </w:p>
        </w:tc>
      </w:tr>
      <w:tr>
        <w:tc>
          <w:tcPr/>
          <w:p>
            <w:pPr>
              <w:pStyle w:val="Compact"/>
            </w:pPr>
            <w:r>
              <w:rPr>
                <w:b/>
                <w:bCs/>
              </w:rPr>
              <w:t xml:space="preserve">Anos de Antiguidade</w:t>
            </w:r>
          </w:p>
        </w:tc>
        <w:tc>
          <w:tcPr/>
          <w:p>
            <w:pPr>
              <w:pStyle w:val="Compact"/>
            </w:pPr>
            <w:r>
              <w:t xml:space="preserve">12</w:t>
            </w:r>
          </w:p>
        </w:tc>
        <w:tc>
          <w:tcPr/>
          <w:p>
            <w:pPr>
              <w:pStyle w:val="Compact"/>
            </w:pPr>
            <w:r>
              <w:t xml:space="preserve">12 anos</w:t>
            </w:r>
          </w:p>
        </w:tc>
        <w:tc>
          <w:tcPr/>
          <w:p>
            <w:pPr>
              <w:pStyle w:val="Compact"/>
            </w:pPr>
            <w:r>
              <w:t xml:space="preserve">12</w:t>
            </w:r>
          </w:p>
        </w:tc>
        <w:tc>
          <w:tcPr/>
          <w:p>
            <w:pPr>
              <w:pStyle w:val="Compact"/>
            </w:pPr>
            <w:r>
              <w:t xml:space="preserve">Correto</w:t>
            </w:r>
          </w:p>
        </w:tc>
      </w:tr>
      <w:tr>
        <w:tc>
          <w:tcPr/>
          <w:p>
            <w:pPr>
              <w:pStyle w:val="Compact"/>
            </w:pPr>
            <w:r>
              <w:rPr>
                <w:b/>
                <w:bCs/>
              </w:rPr>
              <w:t xml:space="preserve">Coeficiente de Indemnização</w:t>
            </w:r>
          </w:p>
        </w:tc>
        <w:tc>
          <w:tcPr/>
          <w:p>
            <w:pPr>
              <w:pStyle w:val="Compact"/>
            </w:pPr>
            <w:r>
              <w:t xml:space="preserve">0,5 (para 12 anos)</w:t>
            </w:r>
          </w:p>
        </w:tc>
        <w:tc>
          <w:tcPr/>
          <w:p>
            <w:pPr>
              <w:pStyle w:val="Compact"/>
            </w:pPr>
            <w:r>
              <w:t xml:space="preserve">Aplicado erroneamente</w:t>
            </w:r>
          </w:p>
        </w:tc>
        <w:tc>
          <w:tcPr/>
          <w:p>
            <w:pPr>
              <w:pStyle w:val="Compact"/>
            </w:pPr>
            <w:r>
              <w:rPr>
                <w:b/>
                <w:bCs/>
              </w:rPr>
              <w:t xml:space="preserve">0,5</w:t>
            </w:r>
          </w:p>
        </w:tc>
        <w:tc>
          <w:tcPr/>
          <w:p>
            <w:pPr>
              <w:pStyle w:val="Compact"/>
            </w:pPr>
            <w:r>
              <w:t xml:space="preserve">Correto</w:t>
            </w:r>
          </w:p>
        </w:tc>
      </w:tr>
      <w:tr>
        <w:tc>
          <w:tcPr/>
          <w:p>
            <w:pPr>
              <w:pStyle w:val="Compact"/>
            </w:pPr>
            <w:r>
              <w:rPr>
                <w:b/>
                <w:bCs/>
              </w:rPr>
              <w:t xml:space="preserve">Cálculo Final (0,5 × 12 × 5 400)</w:t>
            </w:r>
          </w:p>
        </w:tc>
        <w:tc>
          <w:tcPr/>
          <w:p>
            <w:pPr>
              <w:pStyle w:val="Compact"/>
            </w:pPr>
            <w:r>
              <w:rPr>
                <w:b/>
                <w:bCs/>
              </w:rPr>
              <w:t xml:space="preserve">€ 32 400,00</w:t>
            </w:r>
          </w:p>
        </w:tc>
        <w:tc>
          <w:tcPr/>
          <w:p>
            <w:pPr>
              <w:pStyle w:val="Compact"/>
            </w:pPr>
            <w:r>
              <w:rPr>
                <w:b/>
                <w:bCs/>
              </w:rPr>
              <w:t xml:space="preserve">(valor apresentado pela empresa)</w:t>
            </w:r>
          </w:p>
        </w:tc>
        <w:tc>
          <w:tcPr/>
          <w:p>
            <w:pPr>
              <w:pStyle w:val="Compact"/>
            </w:pPr>
            <w:r>
              <w:rPr>
                <w:b/>
                <w:bCs/>
              </w:rPr>
              <w:t xml:space="preserve">€ 32 400,00</w:t>
            </w:r>
          </w:p>
        </w:tc>
        <w:tc>
          <w:tcPr/>
          <w:p>
            <w:pPr>
              <w:pStyle w:val="Compact"/>
            </w:pPr>
            <w:r>
              <w:rPr>
                <w:b/>
                <w:bCs/>
              </w:rPr>
              <w:t xml:space="preserve">Valor correto</w:t>
            </w:r>
          </w:p>
        </w:tc>
      </w:tr>
      <w:tr>
        <w:tc>
          <w:tcPr/>
          <w:p>
            <w:pPr>
              <w:pStyle w:val="Compact"/>
            </w:pPr>
            <w:r>
              <w:rPr>
                <w:b/>
                <w:bCs/>
              </w:rPr>
              <w:t xml:space="preserve">Descontos Aplicados</w:t>
            </w:r>
          </w:p>
        </w:tc>
        <w:tc>
          <w:tcPr/>
          <w:p>
            <w:pPr>
              <w:pStyle w:val="Compact"/>
            </w:pPr>
            <w:r>
              <w:t xml:space="preserve">€ 19 900,00</w:t>
            </w:r>
          </w:p>
        </w:tc>
        <w:tc>
          <w:tcPr/>
          <w:p>
            <w:pPr>
              <w:pStyle w:val="Compact"/>
            </w:pPr>
            <w:r>
              <w:t xml:space="preserve">“Desconto por uso indevido de email”</w:t>
            </w:r>
          </w:p>
        </w:tc>
        <w:tc>
          <w:tcPr/>
          <w:p>
            <w:pPr>
              <w:pStyle w:val="Compact"/>
            </w:pPr>
            <w:r>
              <w:rPr>
                <w:b/>
                <w:bCs/>
              </w:rPr>
              <w:t xml:space="preserve">N/A</w:t>
            </w:r>
          </w:p>
        </w:tc>
        <w:tc>
          <w:tcPr/>
          <w:p>
            <w:pPr>
              <w:pStyle w:val="Compact"/>
            </w:pPr>
            <w:r>
              <w:t xml:space="preserve">Não há base legal para tal desconto</w:t>
            </w:r>
          </w:p>
        </w:tc>
      </w:tr>
      <w:tr>
        <w:tc>
          <w:tcPr/>
          <w:p>
            <w:pPr>
              <w:pStyle w:val="Compact"/>
            </w:pPr>
            <w:r>
              <w:rPr>
                <w:b/>
                <w:bCs/>
              </w:rPr>
              <w:t xml:space="preserve">Valor Final Apresentado</w:t>
            </w:r>
          </w:p>
        </w:tc>
        <w:tc>
          <w:tcPr/>
          <w:p>
            <w:pPr>
              <w:pStyle w:val="Compact"/>
            </w:pPr>
            <w:r>
              <w:rPr>
                <w:b/>
                <w:bCs/>
              </w:rPr>
              <w:t xml:space="preserve">€ 12 500,00</w:t>
            </w:r>
          </w:p>
        </w:tc>
        <w:tc>
          <w:tcPr/>
          <w:p>
            <w:pPr>
              <w:pStyle w:val="Compact"/>
            </w:pPr>
            <w:r>
              <w:t xml:space="preserve">Subtração de descontos ilegítimos</w:t>
            </w:r>
          </w:p>
        </w:tc>
        <w:tc>
          <w:tcPr/>
          <w:p>
            <w:pPr>
              <w:pStyle w:val="Compact"/>
            </w:pPr>
            <w:r>
              <w:rPr>
                <w:b/>
                <w:bCs/>
              </w:rPr>
              <w:t xml:space="preserve">€ 32 400,00</w:t>
            </w:r>
          </w:p>
        </w:tc>
        <w:tc>
          <w:tcPr/>
          <w:p>
            <w:pPr>
              <w:pStyle w:val="Compact"/>
            </w:pPr>
            <w:r>
              <w:rPr>
                <w:b/>
                <w:bCs/>
              </w:rPr>
              <w:t xml:space="preserve">Valor a que se impugna</w:t>
            </w:r>
          </w:p>
        </w:tc>
      </w:tr>
    </w:tbl>
    <w:p>
      <w:pPr>
        <w:pStyle w:val="BodyText"/>
      </w:pPr>
      <w:r>
        <w:rPr>
          <w:b/>
          <w:bCs/>
        </w:rPr>
        <w:t xml:space="preserve">Principais inconsistências:</w:t>
      </w:r>
    </w:p>
    <w:p>
      <w:pPr>
        <w:numPr>
          <w:ilvl w:val="0"/>
          <w:numId w:val="1003"/>
        </w:numPr>
      </w:pPr>
      <w:r>
        <w:rPr>
          <w:b/>
          <w:bCs/>
        </w:rPr>
        <w:t xml:space="preserve">Desconto indevido de € 19 900,00</w:t>
      </w:r>
      <w:r>
        <w:t xml:space="preserve"> </w:t>
      </w:r>
      <w:r>
        <w:t xml:space="preserve">– a empresa alegou que o Requerente teria causado prejuízos ao usar o email corporativo para fins pessoais. Não foi apresentada prova de dano patrimonial nem cálculo que justifique tal abatimento, sendo, portanto, contrária ao princípio da legalidade (art. 2.º da Constituição da República Portuguesa) e ao disposto no art. 351.º, n.º 3, do Código do Trabalho.</w:t>
      </w:r>
    </w:p>
    <w:p>
      <w:pPr>
        <w:numPr>
          <w:ilvl w:val="0"/>
          <w:numId w:val="1003"/>
        </w:numPr>
      </w:pPr>
      <w:r>
        <w:rPr>
          <w:b/>
          <w:bCs/>
        </w:rPr>
        <w:t xml:space="preserve">Aplicação do coeficiente de 0,5</w:t>
      </w:r>
      <w:r>
        <w:t xml:space="preserve"> </w:t>
      </w:r>
      <w:r>
        <w:t xml:space="preserve">– embora correto para a antiguidade, o valor final foi reduzido por descontos não previstos na lei, configurando erro de cálculo que reduz, de forma ilegítima, a indemnização devida.</w:t>
      </w:r>
    </w:p>
    <w:p>
      <w:pPr>
        <w:numPr>
          <w:ilvl w:val="0"/>
          <w:numId w:val="1003"/>
        </w:numPr>
      </w:pPr>
      <w:r>
        <w:rPr>
          <w:b/>
          <w:bCs/>
        </w:rPr>
        <w:t xml:space="preserve">Omissão de complementos habituais</w:t>
      </w:r>
      <w:r>
        <w:t xml:space="preserve"> </w:t>
      </w:r>
      <w:r>
        <w:t xml:space="preserve">– a empresa não incluiu, no cálculo, o “bónus de desempenho” que, nos últimos 12 meses, foi pago de forma regular (valor médio mensal de € 200,00). Conforme a jurisprudência citada, tal bónus deve integrar a remuneração de referência.</w:t>
      </w:r>
    </w:p>
    <w:bookmarkEnd w:id="12"/>
    <w:bookmarkStart w:id="13" w:name="iv.-cálculo-corrigido-da-indemnização"/>
    <w:p>
      <w:pPr>
        <w:pStyle w:val="Heading3"/>
      </w:pPr>
      <w:r>
        <w:t xml:space="preserve">IV. Cálculo Corrigido da Indemnização</w:t>
      </w:r>
    </w:p>
    <w:p>
      <w:pPr>
        <w:numPr>
          <w:ilvl w:val="0"/>
          <w:numId w:val="1004"/>
        </w:numPr>
      </w:pPr>
      <w:r>
        <w:rPr>
          <w:b/>
          <w:bCs/>
        </w:rPr>
        <w:t xml:space="preserve">Remuneração de referência mensal</w:t>
      </w:r>
      <w:r>
        <w:t xml:space="preserve">:</w:t>
      </w:r>
    </w:p>
    <w:p>
      <w:pPr>
        <w:pStyle w:val="Compact"/>
        <w:numPr>
          <w:ilvl w:val="1"/>
          <w:numId w:val="1005"/>
        </w:numPr>
      </w:pPr>
      <w:r>
        <w:t xml:space="preserve">Salário base: € 1 800,00</w:t>
      </w:r>
      <w:r>
        <w:br/>
      </w:r>
    </w:p>
    <w:p>
      <w:pPr>
        <w:pStyle w:val="Compact"/>
        <w:numPr>
          <w:ilvl w:val="1"/>
          <w:numId w:val="1005"/>
        </w:numPr>
      </w:pPr>
      <w:r>
        <w:t xml:space="preserve">Subsídio de Natal: € 1 800,00</w:t>
      </w:r>
      <w:r>
        <w:br/>
      </w:r>
    </w:p>
    <w:p>
      <w:pPr>
        <w:pStyle w:val="Compact"/>
        <w:numPr>
          <w:ilvl w:val="1"/>
          <w:numId w:val="1005"/>
        </w:numPr>
      </w:pPr>
      <w:r>
        <w:t xml:space="preserve">Subsídio de Férias: € 1 800,00</w:t>
      </w:r>
      <w:r>
        <w:br/>
      </w:r>
    </w:p>
    <w:p>
      <w:pPr>
        <w:pStyle w:val="Compact"/>
        <w:numPr>
          <w:ilvl w:val="1"/>
          <w:numId w:val="1005"/>
        </w:numPr>
      </w:pPr>
      <w:r>
        <w:t xml:space="preserve">Bónus de desempenho (média 12 meses): € 200,00</w:t>
      </w:r>
      <w:r>
        <w:br/>
      </w:r>
      <w:r>
        <w:rPr>
          <w:b/>
          <w:bCs/>
        </w:rPr>
        <w:t xml:space="preserve">Total = € 5 600,00</w:t>
      </w:r>
    </w:p>
    <w:p>
      <w:pPr>
        <w:numPr>
          <w:ilvl w:val="0"/>
          <w:numId w:val="1004"/>
        </w:numPr>
      </w:pPr>
      <w:r>
        <w:rPr>
          <w:b/>
          <w:bCs/>
        </w:rPr>
        <w:t xml:space="preserve">Coeficiente de indemnização</w:t>
      </w:r>
      <w:r>
        <w:t xml:space="preserve">: 0,5 (para 12 anos de serviço).</w:t>
      </w:r>
    </w:p>
    <w:p>
      <w:pPr>
        <w:numPr>
          <w:ilvl w:val="0"/>
          <w:numId w:val="1004"/>
        </w:numPr>
      </w:pPr>
      <w:r>
        <w:rPr>
          <w:b/>
          <w:bCs/>
        </w:rPr>
        <w:t xml:space="preserve">Indemnização devida</w:t>
      </w:r>
      <w:r>
        <w:t xml:space="preserve">:</w:t>
      </w:r>
      <w:r>
        <w:br/>
      </w:r>
      <w:r>
        <w:t xml:space="preserve">[</w:t>
      </w:r>
      <w:r>
        <w:t xml:space="preserve"> </w:t>
      </w:r>
      <w:r>
        <w:t xml:space="preserve">0,5</w:t>
      </w:r>
      <w:r>
        <w:t xml:space="preserve"> </w:t>
      </w:r>
      <w:r>
        <w:t xml:space="preserve"> </w:t>
      </w:r>
      <w:r>
        <w:t xml:space="preserve">€ 5 600,00 = € 33 600,00</w:t>
      </w:r>
      <w:r>
        <w:t xml:space="preserve"> </w:t>
      </w:r>
      <w:r>
        <w:t xml:space="preserve">]</w:t>
      </w:r>
    </w:p>
    <w:p>
      <w:pPr>
        <w:numPr>
          <w:ilvl w:val="0"/>
          <w:numId w:val="1004"/>
        </w:numPr>
      </w:pPr>
      <w:r>
        <w:rPr>
          <w:b/>
          <w:bCs/>
        </w:rPr>
        <w:t xml:space="preserve">Descontos legalmente admissíveis</w:t>
      </w:r>
      <w:r>
        <w:t xml:space="preserve">: nenhum, pois não há comprovação de prejuízo patrimonial nem de infração grave que justifique retenção.</w:t>
      </w:r>
    </w:p>
    <w:p>
      <w:pPr>
        <w:numPr>
          <w:ilvl w:val="0"/>
          <w:numId w:val="1004"/>
        </w:numPr>
      </w:pPr>
      <w:r>
        <w:rPr>
          <w:b/>
          <w:bCs/>
        </w:rPr>
        <w:t xml:space="preserve">Valor final da indemnização</w:t>
      </w:r>
      <w:r>
        <w:t xml:space="preserve">:</w:t>
      </w:r>
      <w:r>
        <w:t xml:space="preserve"> </w:t>
      </w:r>
      <w:r>
        <w:rPr>
          <w:b/>
          <w:bCs/>
        </w:rPr>
        <w:t xml:space="preserve">€ 33 600,00</w:t>
      </w:r>
      <w:r>
        <w:t xml:space="preserve">.</w:t>
      </w:r>
    </w:p>
    <w:bookmarkEnd w:id="13"/>
    <w:bookmarkStart w:id="14" w:name="v.-pedidos"/>
    <w:p>
      <w:pPr>
        <w:pStyle w:val="Heading3"/>
      </w:pPr>
      <w:r>
        <w:t xml:space="preserve">V. Pedidos</w:t>
      </w:r>
    </w:p>
    <w:p>
      <w:pPr>
        <w:pStyle w:val="FirstParagraph"/>
      </w:pPr>
      <w:r>
        <w:t xml:space="preserve">Face ao exposto, o Requerente, por intermédio dos seus mandatários, requer a Vossa Excelência que se digne a:</w:t>
      </w:r>
    </w:p>
    <w:p>
      <w:pPr>
        <w:pStyle w:val="Compact"/>
        <w:numPr>
          <w:ilvl w:val="0"/>
          <w:numId w:val="1006"/>
        </w:numPr>
      </w:pPr>
      <w:r>
        <w:rPr>
          <w:b/>
          <w:bCs/>
        </w:rPr>
        <w:t xml:space="preserve">Declarar a nulidade do cálculo de indemnização apresentado pela XYZ – Serviços de Tecnologias, Lda.</w:t>
      </w:r>
      <w:r>
        <w:t xml:space="preserve">, por violar os preceitos legais e jurisprudenciais aplicáveis.</w:t>
      </w:r>
      <w:r>
        <w:br/>
      </w:r>
    </w:p>
    <w:p>
      <w:pPr>
        <w:pStyle w:val="Compact"/>
        <w:numPr>
          <w:ilvl w:val="0"/>
          <w:numId w:val="1006"/>
        </w:numPr>
      </w:pPr>
      <w:r>
        <w:rPr>
          <w:b/>
          <w:bCs/>
        </w:rPr>
        <w:t xml:space="preserve">Determinar a retificação do valor da indemnização para € 33 600,00 (trinta e três mil e seiscentos euros)</w:t>
      </w:r>
      <w:r>
        <w:t xml:space="preserve">, com os devidos juros de mora a partir da data do despedimento (30 de novembro de 2025), nos termos do artigo 420.º do Código do Processo Civil.</w:t>
      </w:r>
      <w:r>
        <w:br/>
      </w:r>
    </w:p>
    <w:p>
      <w:pPr>
        <w:pStyle w:val="Compact"/>
        <w:numPr>
          <w:ilvl w:val="0"/>
          <w:numId w:val="1006"/>
        </w:numPr>
      </w:pPr>
      <w:r>
        <w:rPr>
          <w:b/>
          <w:bCs/>
        </w:rPr>
        <w:t xml:space="preserve">Condenar a empresa requerida ao pagamento das custas processuais e dos honorários de advogado</w:t>
      </w:r>
      <w:r>
        <w:t xml:space="preserve">, nos termos do artigo 21.º, n.º 2, do Código de Processo Civil.</w:t>
      </w:r>
    </w:p>
    <w:p>
      <w:pPr>
        <w:pStyle w:val="FirstParagraph"/>
      </w:pPr>
      <w:r>
        <w:t xml:space="preserve">Nestes termos, pede deferimento.</w:t>
      </w:r>
    </w:p>
    <w:p>
      <w:r>
        <w:pict>
          <v:rect style="width:0;height:1.5pt" o:hralign="center" o:hrstd="t" o:hr="t"/>
        </w:pict>
      </w:r>
    </w:p>
    <w:p>
      <w:pPr>
        <w:pStyle w:val="FirstParagraph"/>
      </w:pPr>
      <w:r>
        <w:rPr>
          <w:b/>
          <w:bCs/>
        </w:rPr>
        <w:t xml:space="preserve">Assinaturas</w:t>
      </w:r>
    </w:p>
    <w:p>
      <w:pPr>
        <w:pStyle w:val="BodyText"/>
      </w:pPr>
      <w:r>
        <w:t xml:space="preserve">_______________________________ | _______________________________ |</w:t>
      </w:r>
      <w:r>
        <w:br/>
      </w:r>
      <w:r>
        <w:t xml:space="preserve">Dr. António Ribeiro</w:t>
      </w:r>
      <w:r>
        <w:t xml:space="preserve">OA 12345 | Dra. Sofia Carvalho</w:t>
      </w:r>
      <w:r>
        <w:t xml:space="preserve">OA 67890 |</w:t>
      </w:r>
      <w:r>
        <w:br/>
      </w:r>
      <w:r>
        <w:t xml:space="preserve">Advogados – OAB | Advogadas – OAB |</w:t>
      </w:r>
    </w:p>
    <w:p>
      <w:r>
        <w:pict>
          <v:rect style="width:0;height:1.5pt" o:hralign="center" o:hrstd="t" o:hr="t"/>
        </w:pict>
      </w:r>
    </w:p>
    <w:p>
      <w:pPr>
        <w:pStyle w:val="FirstParagraph"/>
      </w:pPr>
      <w:r>
        <w:rPr>
          <w:i/>
          <w:iCs/>
        </w:rPr>
        <w:t xml:space="preserve">Anexos:</w:t>
      </w:r>
    </w:p>
    <w:p>
      <w:pPr>
        <w:pStyle w:val="Compact"/>
        <w:numPr>
          <w:ilvl w:val="0"/>
          <w:numId w:val="1007"/>
        </w:numPr>
      </w:pPr>
      <w:r>
        <w:t xml:space="preserve">Cópia do contrato de trabalho do Requerente (2014‑2025).</w:t>
      </w:r>
      <w:r>
        <w:br/>
      </w:r>
    </w:p>
    <w:p>
      <w:pPr>
        <w:pStyle w:val="Compact"/>
        <w:numPr>
          <w:ilvl w:val="0"/>
          <w:numId w:val="1007"/>
        </w:numPr>
      </w:pPr>
      <w:r>
        <w:t xml:space="preserve">Folhas de pagamento dos últimos 12 meses (incluindo bónus de desempenho).</w:t>
      </w:r>
      <w:r>
        <w:br/>
      </w:r>
    </w:p>
    <w:p>
      <w:pPr>
        <w:pStyle w:val="Compact"/>
        <w:numPr>
          <w:ilvl w:val="0"/>
          <w:numId w:val="1007"/>
        </w:numPr>
      </w:pPr>
      <w:r>
        <w:t xml:space="preserve">Cópia da comunicação de despedimento datada de 30 de novembro de 2025.</w:t>
      </w:r>
      <w:r>
        <w:br/>
      </w:r>
    </w:p>
    <w:p>
      <w:pPr>
        <w:pStyle w:val="Compact"/>
        <w:numPr>
          <w:ilvl w:val="0"/>
          <w:numId w:val="1007"/>
        </w:numPr>
      </w:pPr>
      <w:r>
        <w:t xml:space="preserve">Acórdão do Tribunal Supremo n.º 123/2023 (jurisprudência aplicável).</w:t>
      </w:r>
    </w:p>
    <w:bookmarkEnd w:id="14"/>
    <w:bookmarkEnd w:id="1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721">
    <w:nsid w:val="00A99721"/>
    <w:multiLevelType w:val="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7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2026-02-22T18:50:38Z</dcterms:created>
  <dcterms:modified xsi:type="dcterms:W3CDTF">2026-02-22T18:50:38Z</dcterms:modified>
</cp:coreProperties>
</file>

<file path=docProps/custom.xml><?xml version="1.0" encoding="utf-8"?>
<Properties xmlns="http://schemas.openxmlformats.org/officeDocument/2006/custom-properties" xmlns:vt="http://schemas.openxmlformats.org/officeDocument/2006/docPropsVTypes"/>
</file>